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</w:t>
      </w:r>
    </w:p>
    <w:p>
      <w:pPr>
        <w:pStyle w:val="Subtitle"/>
      </w:pPr>
      <w:r>
        <w:t xml:space="preserve">НПИбд-02-22</w:t>
      </w:r>
    </w:p>
    <w:p>
      <w:pPr>
        <w:pStyle w:val="Author"/>
      </w:pPr>
      <w:r>
        <w:t xml:space="preserve">Чесноков Артемий Павлович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Установка инструмента моделирования конфигурации сети Cisco Packet</w:t>
      </w:r>
      <w:r>
        <w:t xml:space="preserve"> </w:t>
      </w:r>
      <w:r>
        <w:t xml:space="preserve">Tracer [3], знакомство с его интерфейсом.</w:t>
      </w:r>
    </w:p>
    <w:bookmarkEnd w:id="20"/>
    <w:bookmarkStart w:id="8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Заходим на networkAcademy (рис. 1).</w:t>
      </w:r>
    </w:p>
    <w:bookmarkStart w:id="24" w:name="fig:001"/>
    <w:p>
      <w:pPr>
        <w:pStyle w:val="CaptionedFigure"/>
      </w:pPr>
      <w:r>
        <w:drawing>
          <wp:inline>
            <wp:extent cx="3733800" cy="1935125"/>
            <wp:effectExtent b="0" l="0" r="0" t="0"/>
            <wp:docPr descr="Рис. 1: регистрируемся и получаем продукт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5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регистрируемся и получаем продукт</w:t>
      </w:r>
    </w:p>
    <w:bookmarkEnd w:id="24"/>
    <w:p>
      <w:pPr>
        <w:pStyle w:val="BodyText"/>
      </w:pPr>
      <w:r>
        <w:t xml:space="preserve">Строим схему с концентратором (рис. 2).</w:t>
      </w:r>
    </w:p>
    <w:bookmarkStart w:id="28" w:name="fig:002"/>
    <w:p>
      <w:pPr>
        <w:pStyle w:val="CaptionedFigure"/>
      </w:pPr>
      <w:r>
        <w:drawing>
          <wp:inline>
            <wp:extent cx="3733800" cy="2209041"/>
            <wp:effectExtent b="0" l="0" r="0" t="0"/>
            <wp:docPr descr="Рис. 2: порядок соединения портов неважен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9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порядок соединения портов неважен</w:t>
      </w:r>
    </w:p>
    <w:bookmarkEnd w:id="28"/>
    <w:p>
      <w:pPr>
        <w:pStyle w:val="BodyText"/>
      </w:pPr>
      <w:r>
        <w:t xml:space="preserve">Указываем статические адреса на устройствах (рис. 3).</w:t>
      </w:r>
    </w:p>
    <w:bookmarkStart w:id="32" w:name="fig:003"/>
    <w:p>
      <w:pPr>
        <w:pStyle w:val="CaptionedFigure"/>
      </w:pPr>
      <w:r>
        <w:drawing>
          <wp:inline>
            <wp:extent cx="3733800" cy="2116304"/>
            <wp:effectExtent b="0" l="0" r="0" t="0"/>
            <wp:docPr descr="Рис. 3: делаем для каждого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6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делаем для каждого</w:t>
      </w:r>
    </w:p>
    <w:bookmarkEnd w:id="32"/>
    <w:p>
      <w:pPr>
        <w:pStyle w:val="BodyText"/>
      </w:pPr>
      <w:r>
        <w:t xml:space="preserve">Запускаем симуляцию и отправляем с PC0 на PC4 (рис. 4).</w:t>
      </w:r>
    </w:p>
    <w:bookmarkStart w:id="36" w:name="fig:004"/>
    <w:p>
      <w:pPr>
        <w:pStyle w:val="CaptionedFigure"/>
      </w:pPr>
      <w:r>
        <w:drawing>
          <wp:inline>
            <wp:extent cx="3733800" cy="2469222"/>
            <wp:effectExtent b="0" l="0" r="0" t="0"/>
            <wp:docPr descr="Рис. 4: ожидаемый результат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9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ожидаемый результат</w:t>
      </w:r>
    </w:p>
    <w:bookmarkEnd w:id="36"/>
    <w:p>
      <w:pPr>
        <w:pStyle w:val="BodyText"/>
      </w:pPr>
      <w:r>
        <w:t xml:space="preserve">Информация о PDU: уровень OSI (рис. 5).</w:t>
      </w:r>
    </w:p>
    <w:bookmarkStart w:id="40" w:name="fig:005"/>
    <w:p>
      <w:pPr>
        <w:pStyle w:val="CaptionedFigure"/>
      </w:pPr>
      <w:r>
        <w:drawing>
          <wp:inline>
            <wp:extent cx="3733800" cy="3488457"/>
            <wp:effectExtent b="0" l="0" r="0" t="0"/>
            <wp:docPr descr="Рис. 5: OSI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88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OSI</w:t>
      </w:r>
    </w:p>
    <w:bookmarkEnd w:id="40"/>
    <w:p>
      <w:pPr>
        <w:pStyle w:val="BodyText"/>
      </w:pPr>
      <w:r>
        <w:t xml:space="preserve">Информация о PDU: форматы пакетов (рис. 6).</w:t>
      </w:r>
    </w:p>
    <w:bookmarkStart w:id="44" w:name="fig:006"/>
    <w:p>
      <w:pPr>
        <w:pStyle w:val="CaptionedFigure"/>
      </w:pPr>
      <w:r>
        <w:drawing>
          <wp:inline>
            <wp:extent cx="3733800" cy="3488457"/>
            <wp:effectExtent b="0" l="0" r="0" t="0"/>
            <wp:docPr descr="Рис. 6: форматы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88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форматы</w:t>
      </w:r>
    </w:p>
    <w:bookmarkEnd w:id="44"/>
    <w:p>
      <w:pPr>
        <w:pStyle w:val="BodyText"/>
      </w:pPr>
      <w:r>
        <w:t xml:space="preserve">Как нас и попросили проверяем себя в тесте (рис. 7).</w:t>
      </w:r>
    </w:p>
    <w:bookmarkStart w:id="48" w:name="fig:007"/>
    <w:p>
      <w:pPr>
        <w:pStyle w:val="CaptionedFigure"/>
      </w:pPr>
      <w:r>
        <w:drawing>
          <wp:inline>
            <wp:extent cx="3733800" cy="2004060"/>
            <wp:effectExtent b="0" l="0" r="0" t="0"/>
            <wp:docPr descr="Рис. 7: ответил неправильно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4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ответил неправильно</w:t>
      </w:r>
    </w:p>
    <w:bookmarkEnd w:id="48"/>
    <w:p>
      <w:pPr>
        <w:pStyle w:val="BodyText"/>
      </w:pPr>
      <w:r>
        <w:t xml:space="preserve">Отправляем с двух сторон пакеты (рис. 8).</w:t>
      </w:r>
    </w:p>
    <w:bookmarkStart w:id="52" w:name="fig:008"/>
    <w:p>
      <w:pPr>
        <w:pStyle w:val="CaptionedFigure"/>
      </w:pPr>
      <w:r>
        <w:drawing>
          <wp:inline>
            <wp:extent cx="3733800" cy="2084152"/>
            <wp:effectExtent b="0" l="0" r="0" t="0"/>
            <wp:docPr descr="Рис. 8: призываем коллизию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84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призываем коллизию</w:t>
      </w:r>
    </w:p>
    <w:bookmarkEnd w:id="52"/>
    <w:p>
      <w:pPr>
        <w:pStyle w:val="BodyText"/>
      </w:pPr>
      <w:r>
        <w:t xml:space="preserve">Отслеживаем пакеты (рис. 9).</w:t>
      </w:r>
    </w:p>
    <w:bookmarkStart w:id="56" w:name="fig:009"/>
    <w:p>
      <w:pPr>
        <w:pStyle w:val="CaptionedFigure"/>
      </w:pPr>
      <w:r>
        <w:drawing>
          <wp:inline>
            <wp:extent cx="3733800" cy="971999"/>
            <wp:effectExtent b="0" l="0" r="0" t="0"/>
            <wp:docPr descr="Рис. 9: отследили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71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отследили</w:t>
      </w:r>
    </w:p>
    <w:bookmarkEnd w:id="56"/>
    <w:p>
      <w:pPr>
        <w:pStyle w:val="BodyText"/>
      </w:pPr>
      <w:r>
        <w:t xml:space="preserve">Размещаем коммутатор (рис. 10).</w:t>
      </w:r>
    </w:p>
    <w:bookmarkStart w:id="60" w:name="fig:010"/>
    <w:p>
      <w:pPr>
        <w:pStyle w:val="CaptionedFigure"/>
      </w:pPr>
      <w:r>
        <w:drawing>
          <wp:inline>
            <wp:extent cx="3733800" cy="1833145"/>
            <wp:effectExtent b="0" l="0" r="0" t="0"/>
            <wp:docPr descr="Рис. 10: разместили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3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разместили</w:t>
      </w:r>
    </w:p>
    <w:bookmarkEnd w:id="60"/>
    <w:p>
      <w:pPr>
        <w:pStyle w:val="BodyText"/>
      </w:pPr>
      <w:r>
        <w:t xml:space="preserve">Запустив пакеты замечаем разницу в передаче (рис. 11).</w:t>
      </w:r>
    </w:p>
    <w:bookmarkStart w:id="64" w:name="fig:011"/>
    <w:p>
      <w:pPr>
        <w:pStyle w:val="CaptionedFigure"/>
      </w:pPr>
      <w:r>
        <w:drawing>
          <wp:inline>
            <wp:extent cx="3733800" cy="2188113"/>
            <wp:effectExtent b="0" l="0" r="0" t="0"/>
            <wp:docPr descr="Рис. 11: разница в передаче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8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разница в передаче</w:t>
      </w:r>
    </w:p>
    <w:bookmarkEnd w:id="64"/>
    <w:p>
      <w:pPr>
        <w:pStyle w:val="BodyText"/>
      </w:pPr>
      <w:r>
        <w:t xml:space="preserve">Рассматриваем пакеты (рис. 12).</w:t>
      </w:r>
    </w:p>
    <w:bookmarkStart w:id="68" w:name="fig:012"/>
    <w:p>
      <w:pPr>
        <w:pStyle w:val="CaptionedFigure"/>
      </w:pPr>
      <w:r>
        <w:drawing>
          <wp:inline>
            <wp:extent cx="3733800" cy="1061570"/>
            <wp:effectExtent b="0" l="0" r="0" t="0"/>
            <wp:docPr descr="Рис. 12: ура" title="" id="66" name="Picture"/>
            <a:graphic>
              <a:graphicData uri="http://schemas.openxmlformats.org/drawingml/2006/picture">
                <pic:pic>
                  <pic:nvPicPr>
                    <pic:cNvPr descr="image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61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ура</w:t>
      </w:r>
    </w:p>
    <w:bookmarkEnd w:id="68"/>
    <w:p>
      <w:pPr>
        <w:pStyle w:val="BodyText"/>
      </w:pPr>
      <w:r>
        <w:t xml:space="preserve">Соединяем наши схемы (рис. 13).</w:t>
      </w:r>
    </w:p>
    <w:bookmarkStart w:id="72" w:name="fig:013"/>
    <w:p>
      <w:pPr>
        <w:pStyle w:val="CaptionedFigure"/>
      </w:pPr>
      <w:r>
        <w:drawing>
          <wp:inline>
            <wp:extent cx="3733800" cy="1410160"/>
            <wp:effectExtent b="0" l="0" r="0" t="0"/>
            <wp:docPr descr="Рис. 13: витым кабелем" title="" id="70" name="Picture"/>
            <a:graphic>
              <a:graphicData uri="http://schemas.openxmlformats.org/drawingml/2006/picture">
                <pic:pic>
                  <pic:nvPicPr>
                    <pic:cNvPr descr="image/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0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витым кабелем</w:t>
      </w:r>
    </w:p>
    <w:bookmarkEnd w:id="72"/>
    <w:p>
      <w:pPr>
        <w:pStyle w:val="BodyText"/>
      </w:pPr>
      <w:r>
        <w:t xml:space="preserve">Отправляем пакет от устройства левой схемы на устройство правой (рис. 14).</w:t>
      </w:r>
    </w:p>
    <w:bookmarkStart w:id="76" w:name="fig:014"/>
    <w:p>
      <w:pPr>
        <w:pStyle w:val="CaptionedFigure"/>
      </w:pPr>
      <w:r>
        <w:drawing>
          <wp:inline>
            <wp:extent cx="3733800" cy="2171809"/>
            <wp:effectExtent b="0" l="0" r="0" t="0"/>
            <wp:docPr descr="Рис. 14: успешно" title="" id="74" name="Picture"/>
            <a:graphic>
              <a:graphicData uri="http://schemas.openxmlformats.org/drawingml/2006/picture">
                <pic:pic>
                  <pic:nvPicPr>
                    <pic:cNvPr descr="image/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1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успешно</w:t>
      </w:r>
    </w:p>
    <w:bookmarkEnd w:id="76"/>
    <w:p>
      <w:pPr>
        <w:pStyle w:val="BodyText"/>
      </w:pPr>
      <w:r>
        <w:t xml:space="preserve">Добавляем маршрутизатор (рис. 15).</w:t>
      </w:r>
    </w:p>
    <w:bookmarkStart w:id="80" w:name="fig:015"/>
    <w:p>
      <w:pPr>
        <w:pStyle w:val="CaptionedFigure"/>
      </w:pPr>
      <w:r>
        <w:drawing>
          <wp:inline>
            <wp:extent cx="3733800" cy="1225483"/>
            <wp:effectExtent b="0" l="0" r="0" t="0"/>
            <wp:docPr descr="Рис. 15: прямым кабелем тк устройства одного типа" title="" id="78" name="Picture"/>
            <a:graphic>
              <a:graphicData uri="http://schemas.openxmlformats.org/drawingml/2006/picture">
                <pic:pic>
                  <pic:nvPicPr>
                    <pic:cNvPr descr="image/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25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прямым кабелем тк устройства одного типа</w:t>
      </w:r>
    </w:p>
    <w:bookmarkEnd w:id="80"/>
    <w:p>
      <w:pPr>
        <w:pStyle w:val="BodyText"/>
      </w:pPr>
      <w:r>
        <w:t xml:space="preserve">Прописываем статический адрес (рис. 16).</w:t>
      </w:r>
    </w:p>
    <w:bookmarkStart w:id="84" w:name="fig:016"/>
    <w:p>
      <w:pPr>
        <w:pStyle w:val="CaptionedFigure"/>
      </w:pPr>
      <w:r>
        <w:drawing>
          <wp:inline>
            <wp:extent cx="3733800" cy="2153380"/>
            <wp:effectExtent b="0" l="0" r="0" t="0"/>
            <wp:docPr descr="Рис. 16: config" title="" id="82" name="Picture"/>
            <a:graphic>
              <a:graphicData uri="http://schemas.openxmlformats.org/drawingml/2006/picture">
                <pic:pic>
                  <pic:nvPicPr>
                    <pic:cNvPr descr="image/16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53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config</w:t>
      </w:r>
    </w:p>
    <w:bookmarkEnd w:id="84"/>
    <w:p>
      <w:pPr>
        <w:pStyle w:val="BodyText"/>
      </w:pPr>
      <w:r>
        <w:t xml:space="preserve">Устанавливаем тоггл в On на открытие портов (рис. 17).</w:t>
      </w:r>
    </w:p>
    <w:bookmarkStart w:id="88" w:name="fig:017"/>
    <w:p>
      <w:pPr>
        <w:pStyle w:val="CaptionedFigure"/>
      </w:pPr>
      <w:r>
        <w:drawing>
          <wp:inline>
            <wp:extent cx="3733800" cy="1045222"/>
            <wp:effectExtent b="0" l="0" r="0" t="0"/>
            <wp:docPr descr="Рис. 17: ура" title="" id="86" name="Picture"/>
            <a:graphic>
              <a:graphicData uri="http://schemas.openxmlformats.org/drawingml/2006/picture">
                <pic:pic>
                  <pic:nvPicPr>
                    <pic:cNvPr descr="image/17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45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ура</w:t>
      </w:r>
    </w:p>
    <w:bookmarkEnd w:id="88"/>
    <w:bookmarkEnd w:id="89"/>
    <w:bookmarkStart w:id="90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Поставили инструмент моделирования конфигурации сети Cisco Packet</w:t>
      </w:r>
      <w:r>
        <w:t xml:space="preserve"> </w:t>
      </w:r>
      <w:r>
        <w:t xml:space="preserve">Tracer [3], ознакомились</w:t>
      </w:r>
    </w:p>
    <w:bookmarkEnd w:id="90"/>
    <w:bookmarkStart w:id="92" w:name="список-литературы"/>
    <w:p>
      <w:pPr>
        <w:pStyle w:val="Heading1"/>
      </w:pPr>
      <w:r>
        <w:t xml:space="preserve">Список литературы</w:t>
      </w:r>
    </w:p>
    <w:bookmarkStart w:id="91" w:name="refs"/>
    <w:bookmarkEnd w:id="91"/>
    <w:bookmarkEnd w:id="92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Чесноков Артемий Павлович</dc:creator>
  <dc:language>ru-RU</dc:language>
  <cp:keywords/>
  <dcterms:created xsi:type="dcterms:W3CDTF">2025-10-11T18:54:43Z</dcterms:created>
  <dcterms:modified xsi:type="dcterms:W3CDTF">2025-10-11T18:54:43Z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НПИбд-02-22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